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A467" w14:textId="77777777" w:rsidR="00A609A5" w:rsidRDefault="00A609A5"/>
    <w:p w14:paraId="7C3475E5" w14:textId="77777777" w:rsidR="00E87C8F" w:rsidRDefault="00E87C8F" w:rsidP="00E87C8F">
      <w:r>
        <w:rPr>
          <w:noProof/>
        </w:rPr>
        <w:drawing>
          <wp:anchor distT="0" distB="0" distL="114300" distR="114300" simplePos="0" relativeHeight="251658240" behindDoc="0" locked="0" layoutInCell="1" allowOverlap="1" wp14:anchorId="45D172CB" wp14:editId="0C886697">
            <wp:simplePos x="2547620" y="1102360"/>
            <wp:positionH relativeFrom="column">
              <wp:posOffset>2548054</wp:posOffset>
            </wp:positionH>
            <wp:positionV relativeFrom="paragraph">
              <wp:align>top</wp:align>
            </wp:positionV>
            <wp:extent cx="2469515" cy="1234440"/>
            <wp:effectExtent l="0" t="0" r="0" b="0"/>
            <wp:wrapSquare wrapText="bothSides"/>
            <wp:docPr id="145461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15486" name="Picture 1454615486"/>
                    <pic:cNvPicPr/>
                  </pic:nvPicPr>
                  <pic:blipFill>
                    <a:blip r:embed="rId4">
                      <a:extLst>
                        <a:ext uri="{28A0092B-C50C-407E-A947-70E740481C1C}">
                          <a14:useLocalDpi xmlns:a14="http://schemas.microsoft.com/office/drawing/2010/main" val="0"/>
                        </a:ext>
                      </a:extLst>
                    </a:blip>
                    <a:stretch>
                      <a:fillRect/>
                    </a:stretch>
                  </pic:blipFill>
                  <pic:spPr>
                    <a:xfrm>
                      <a:off x="0" y="0"/>
                      <a:ext cx="2469515" cy="1234440"/>
                    </a:xfrm>
                    <a:prstGeom prst="rect">
                      <a:avLst/>
                    </a:prstGeom>
                  </pic:spPr>
                </pic:pic>
              </a:graphicData>
            </a:graphic>
          </wp:anchor>
        </w:drawing>
      </w:r>
    </w:p>
    <w:p w14:paraId="08B2E32C" w14:textId="77777777" w:rsidR="00E87C8F" w:rsidRDefault="00E87C8F" w:rsidP="00E87C8F"/>
    <w:p w14:paraId="5E9C5A92" w14:textId="039BBD1E" w:rsidR="004A09F2" w:rsidRDefault="00E87C8F" w:rsidP="00E87C8F">
      <w:r>
        <w:br w:type="textWrapping" w:clear="all"/>
      </w:r>
    </w:p>
    <w:p w14:paraId="7E8823C8" w14:textId="7ABC7CAC" w:rsidR="004A09F2" w:rsidRDefault="004A09F2" w:rsidP="004A09F2">
      <w:pPr>
        <w:jc w:val="center"/>
      </w:pPr>
    </w:p>
    <w:p w14:paraId="19099E3F" w14:textId="1E9E798F" w:rsidR="004A09F2" w:rsidRPr="006B35FE" w:rsidRDefault="004A09F2" w:rsidP="004A09F2">
      <w:pPr>
        <w:pStyle w:val="p1"/>
        <w:rPr>
          <w:b/>
          <w:bCs/>
          <w:color w:val="45B0E1" w:themeColor="accent1" w:themeTint="99"/>
          <w:sz w:val="18"/>
          <w:szCs w:val="18"/>
        </w:rPr>
      </w:pPr>
      <w:r w:rsidRPr="006B35FE">
        <w:rPr>
          <w:rStyle w:val="s1"/>
          <w:rFonts w:eastAsiaTheme="majorEastAsia"/>
          <w:b/>
          <w:bCs/>
          <w:color w:val="45B0E1" w:themeColor="accent1" w:themeTint="99"/>
          <w:sz w:val="18"/>
          <w:szCs w:val="18"/>
        </w:rPr>
        <w:t>Why Fixing Your Mortgage Rate Six Months Early Is Becoming Essential in Today’s Market</w:t>
      </w:r>
    </w:p>
    <w:p w14:paraId="210899CD" w14:textId="77777777" w:rsidR="004A09F2" w:rsidRPr="006B35FE" w:rsidRDefault="004A09F2" w:rsidP="004A09F2">
      <w:pPr>
        <w:pStyle w:val="p2"/>
        <w:rPr>
          <w:sz w:val="18"/>
          <w:szCs w:val="18"/>
        </w:rPr>
      </w:pPr>
      <w:r w:rsidRPr="006B35FE">
        <w:rPr>
          <w:rStyle w:val="s2"/>
          <w:rFonts w:eastAsiaTheme="majorEastAsia"/>
          <w:sz w:val="18"/>
          <w:szCs w:val="18"/>
        </w:rPr>
        <w:t>In a housing market defined by uncertainty, timing has quietly become one of the most powerful financial tools available to homeowners. Over the past two years, UK borrowers have watched mortgage rates swing sharply as inflation, Bank of England decisions, and global economic pressures have pushed lenders to adjust their pricing at speed. In this environment, the ability to lock in a mortgage rate up to six months before your current deal ends has shifted from a nice</w:t>
      </w:r>
      <w:r w:rsidRPr="006B35FE">
        <w:rPr>
          <w:rStyle w:val="s2"/>
          <w:rFonts w:eastAsiaTheme="majorEastAsia"/>
          <w:sz w:val="18"/>
          <w:szCs w:val="18"/>
        </w:rPr>
        <w:noBreakHyphen/>
        <w:t>to</w:t>
      </w:r>
      <w:r w:rsidRPr="006B35FE">
        <w:rPr>
          <w:rStyle w:val="s2"/>
          <w:rFonts w:eastAsiaTheme="majorEastAsia"/>
          <w:sz w:val="18"/>
          <w:szCs w:val="18"/>
        </w:rPr>
        <w:noBreakHyphen/>
        <w:t>have to a strategic necessity.</w:t>
      </w:r>
    </w:p>
    <w:p w14:paraId="620108D0" w14:textId="77777777" w:rsidR="004A09F2" w:rsidRPr="006B35FE" w:rsidRDefault="004A09F2" w:rsidP="004A09F2">
      <w:pPr>
        <w:pStyle w:val="p3"/>
        <w:rPr>
          <w:b/>
          <w:bCs/>
          <w:color w:val="45B0E1" w:themeColor="accent1" w:themeTint="99"/>
          <w:sz w:val="18"/>
          <w:szCs w:val="18"/>
        </w:rPr>
      </w:pPr>
      <w:r w:rsidRPr="006B35FE">
        <w:rPr>
          <w:rStyle w:val="s3"/>
          <w:rFonts w:eastAsiaTheme="majorEastAsia"/>
          <w:b/>
          <w:bCs/>
          <w:color w:val="45B0E1" w:themeColor="accent1" w:themeTint="99"/>
          <w:sz w:val="18"/>
          <w:szCs w:val="18"/>
        </w:rPr>
        <w:t>Stability in an Unpredictable Market</w:t>
      </w:r>
    </w:p>
    <w:p w14:paraId="5CBC0E5E" w14:textId="77777777" w:rsidR="004A09F2" w:rsidRPr="006B35FE" w:rsidRDefault="004A09F2" w:rsidP="004A09F2">
      <w:pPr>
        <w:pStyle w:val="p2"/>
        <w:rPr>
          <w:sz w:val="18"/>
          <w:szCs w:val="18"/>
        </w:rPr>
      </w:pPr>
      <w:r w:rsidRPr="006B35FE">
        <w:rPr>
          <w:rStyle w:val="s2"/>
          <w:rFonts w:eastAsiaTheme="majorEastAsia"/>
          <w:sz w:val="18"/>
          <w:szCs w:val="18"/>
        </w:rPr>
        <w:t>The primary benefit of fixing early is simple: certainty. When rates are volatile, even a small upward movement can add hundreds of pounds to a monthly payment. Securing a rate six months ahead protects you from sudden spikes and gives you the breathing room to plan your finances with confidence.</w:t>
      </w:r>
    </w:p>
    <w:p w14:paraId="35802130" w14:textId="77777777" w:rsidR="004A09F2" w:rsidRPr="006B35FE" w:rsidRDefault="004A09F2" w:rsidP="004A09F2">
      <w:pPr>
        <w:pStyle w:val="p2"/>
        <w:rPr>
          <w:sz w:val="18"/>
          <w:szCs w:val="18"/>
        </w:rPr>
      </w:pPr>
      <w:r w:rsidRPr="006B35FE">
        <w:rPr>
          <w:rStyle w:val="s2"/>
          <w:rFonts w:eastAsiaTheme="majorEastAsia"/>
          <w:sz w:val="18"/>
          <w:szCs w:val="18"/>
        </w:rPr>
        <w:t>For many households—especially those balancing demanding careers, shift work, or public</w:t>
      </w:r>
      <w:r w:rsidRPr="006B35FE">
        <w:rPr>
          <w:rStyle w:val="s2"/>
          <w:rFonts w:eastAsiaTheme="majorEastAsia"/>
          <w:sz w:val="18"/>
          <w:szCs w:val="18"/>
        </w:rPr>
        <w:noBreakHyphen/>
        <w:t>service commitments—this stability isn’t just helpful, it’s transformative. It means no last</w:t>
      </w:r>
      <w:r w:rsidRPr="006B35FE">
        <w:rPr>
          <w:rStyle w:val="s2"/>
          <w:rFonts w:eastAsiaTheme="majorEastAsia"/>
          <w:sz w:val="18"/>
          <w:szCs w:val="18"/>
        </w:rPr>
        <w:noBreakHyphen/>
        <w:t>minute scrambles, no surprises, and no pressure to make rushed decisions as your current deal expires.</w:t>
      </w:r>
    </w:p>
    <w:p w14:paraId="0F85FDA4" w14:textId="77777777" w:rsidR="004A09F2" w:rsidRPr="006B35FE" w:rsidRDefault="004A09F2" w:rsidP="004A09F2">
      <w:pPr>
        <w:pStyle w:val="p3"/>
        <w:rPr>
          <w:b/>
          <w:bCs/>
          <w:color w:val="45B0E1" w:themeColor="accent1" w:themeTint="99"/>
          <w:sz w:val="18"/>
          <w:szCs w:val="18"/>
        </w:rPr>
      </w:pPr>
      <w:r w:rsidRPr="006B35FE">
        <w:rPr>
          <w:rStyle w:val="s3"/>
          <w:rFonts w:eastAsiaTheme="majorEastAsia"/>
          <w:b/>
          <w:bCs/>
          <w:color w:val="45B0E1" w:themeColor="accent1" w:themeTint="99"/>
          <w:sz w:val="18"/>
          <w:szCs w:val="18"/>
        </w:rPr>
        <w:t>Flexibility Without Commitment</w:t>
      </w:r>
    </w:p>
    <w:p w14:paraId="22602FD5" w14:textId="77777777" w:rsidR="004A09F2" w:rsidRPr="006B35FE" w:rsidRDefault="004A09F2" w:rsidP="004A09F2">
      <w:pPr>
        <w:pStyle w:val="p2"/>
        <w:rPr>
          <w:sz w:val="18"/>
          <w:szCs w:val="18"/>
        </w:rPr>
      </w:pPr>
      <w:r w:rsidRPr="006B35FE">
        <w:rPr>
          <w:rStyle w:val="s2"/>
          <w:rFonts w:eastAsiaTheme="majorEastAsia"/>
          <w:sz w:val="18"/>
          <w:szCs w:val="18"/>
        </w:rPr>
        <w:t>One of the most misunderstood aspects of early rate</w:t>
      </w:r>
      <w:r w:rsidRPr="006B35FE">
        <w:rPr>
          <w:rStyle w:val="s2"/>
          <w:rFonts w:eastAsiaTheme="majorEastAsia"/>
          <w:sz w:val="18"/>
          <w:szCs w:val="18"/>
        </w:rPr>
        <w:noBreakHyphen/>
        <w:t>fixing is the flexibility it offers. Locking in a rate doesn’t trap you. If the market improves before your new deal begins, you can simply switch to a better product with no penalty. You’re effectively reserving a safety net while keeping your options open.</w:t>
      </w:r>
    </w:p>
    <w:p w14:paraId="5F17BB25" w14:textId="77777777" w:rsidR="004A09F2" w:rsidRPr="006B35FE" w:rsidRDefault="004A09F2" w:rsidP="004A09F2">
      <w:pPr>
        <w:pStyle w:val="p2"/>
        <w:rPr>
          <w:sz w:val="18"/>
          <w:szCs w:val="18"/>
        </w:rPr>
      </w:pPr>
      <w:r w:rsidRPr="006B35FE">
        <w:rPr>
          <w:rStyle w:val="s2"/>
          <w:rFonts w:eastAsiaTheme="majorEastAsia"/>
          <w:sz w:val="18"/>
          <w:szCs w:val="18"/>
        </w:rPr>
        <w:t>In a market where rates can change weekly, this flexibility is invaluable. It allows borrowers to protect themselves against the worst</w:t>
      </w:r>
      <w:r w:rsidRPr="006B35FE">
        <w:rPr>
          <w:rStyle w:val="s2"/>
          <w:rFonts w:eastAsiaTheme="majorEastAsia"/>
          <w:sz w:val="18"/>
          <w:szCs w:val="18"/>
        </w:rPr>
        <w:noBreakHyphen/>
        <w:t>case scenario while still benefiting from the best</w:t>
      </w:r>
      <w:r w:rsidRPr="006B35FE">
        <w:rPr>
          <w:rStyle w:val="s2"/>
          <w:rFonts w:eastAsiaTheme="majorEastAsia"/>
          <w:sz w:val="18"/>
          <w:szCs w:val="18"/>
        </w:rPr>
        <w:noBreakHyphen/>
        <w:t>case scenario if it arrives.</w:t>
      </w:r>
    </w:p>
    <w:p w14:paraId="2C736032" w14:textId="77777777" w:rsidR="004A09F2" w:rsidRPr="006B35FE" w:rsidRDefault="004A09F2" w:rsidP="004A09F2">
      <w:pPr>
        <w:pStyle w:val="p3"/>
        <w:rPr>
          <w:b/>
          <w:bCs/>
          <w:color w:val="45B0E1" w:themeColor="accent1" w:themeTint="99"/>
          <w:sz w:val="18"/>
          <w:szCs w:val="18"/>
        </w:rPr>
      </w:pPr>
      <w:r w:rsidRPr="006B35FE">
        <w:rPr>
          <w:rStyle w:val="s3"/>
          <w:rFonts w:eastAsiaTheme="majorEastAsia"/>
          <w:b/>
          <w:bCs/>
          <w:color w:val="45B0E1" w:themeColor="accent1" w:themeTint="99"/>
          <w:sz w:val="18"/>
          <w:szCs w:val="18"/>
        </w:rPr>
        <w:t>Avoiding the Standard Variable Rate Trap</w:t>
      </w:r>
    </w:p>
    <w:p w14:paraId="613E2B43" w14:textId="77777777" w:rsidR="004A09F2" w:rsidRPr="006B35FE" w:rsidRDefault="004A09F2" w:rsidP="004A09F2">
      <w:pPr>
        <w:pStyle w:val="p2"/>
        <w:rPr>
          <w:sz w:val="18"/>
          <w:szCs w:val="18"/>
        </w:rPr>
      </w:pPr>
      <w:r w:rsidRPr="006B35FE">
        <w:rPr>
          <w:rStyle w:val="s2"/>
          <w:rFonts w:eastAsiaTheme="majorEastAsia"/>
          <w:sz w:val="18"/>
          <w:szCs w:val="18"/>
        </w:rPr>
        <w:t>When a mortgage deal ends without a new one in place, borrowers are automatically moved onto their lender’s Standard Variable Rate (SVR)—often significantly higher than fixed</w:t>
      </w:r>
      <w:r w:rsidRPr="006B35FE">
        <w:rPr>
          <w:rStyle w:val="s2"/>
          <w:rFonts w:eastAsiaTheme="majorEastAsia"/>
          <w:sz w:val="18"/>
          <w:szCs w:val="18"/>
        </w:rPr>
        <w:noBreakHyphen/>
        <w:t>rate products. Fixing early ensures you never fall into this costly gap. It’s a small step that can prevent a major financial shock.</w:t>
      </w:r>
    </w:p>
    <w:p w14:paraId="290EA606" w14:textId="77777777" w:rsidR="004A09F2" w:rsidRPr="006B35FE" w:rsidRDefault="004A09F2" w:rsidP="004A09F2">
      <w:pPr>
        <w:pStyle w:val="p3"/>
        <w:rPr>
          <w:b/>
          <w:bCs/>
          <w:color w:val="45B0E1" w:themeColor="accent1" w:themeTint="99"/>
          <w:sz w:val="18"/>
          <w:szCs w:val="18"/>
        </w:rPr>
      </w:pPr>
      <w:r w:rsidRPr="006B35FE">
        <w:rPr>
          <w:rStyle w:val="s3"/>
          <w:rFonts w:eastAsiaTheme="majorEastAsia"/>
          <w:b/>
          <w:bCs/>
          <w:color w:val="45B0E1" w:themeColor="accent1" w:themeTint="99"/>
          <w:sz w:val="18"/>
          <w:szCs w:val="18"/>
        </w:rPr>
        <w:t>A Six</w:t>
      </w:r>
      <w:r w:rsidRPr="006B35FE">
        <w:rPr>
          <w:rStyle w:val="s3"/>
          <w:rFonts w:eastAsiaTheme="majorEastAsia"/>
          <w:b/>
          <w:bCs/>
          <w:color w:val="45B0E1" w:themeColor="accent1" w:themeTint="99"/>
          <w:sz w:val="18"/>
          <w:szCs w:val="18"/>
        </w:rPr>
        <w:noBreakHyphen/>
        <w:t>Month Head Start on Financial Planning</w:t>
      </w:r>
    </w:p>
    <w:p w14:paraId="3203F13F" w14:textId="77777777" w:rsidR="004A09F2" w:rsidRPr="006B35FE" w:rsidRDefault="004A09F2" w:rsidP="004A09F2">
      <w:pPr>
        <w:pStyle w:val="p2"/>
        <w:rPr>
          <w:sz w:val="18"/>
          <w:szCs w:val="18"/>
        </w:rPr>
      </w:pPr>
      <w:r w:rsidRPr="006B35FE">
        <w:rPr>
          <w:rStyle w:val="s2"/>
          <w:rFonts w:eastAsiaTheme="majorEastAsia"/>
          <w:sz w:val="18"/>
          <w:szCs w:val="18"/>
        </w:rPr>
        <w:t>Securing a rate early gives you half a year to prepare for your next chapter. Whether you’re budgeting for a new payment, planning home improvements, or simply wanting peace of mind, that extra time is a gift. It turns what could be a stressful deadline into a smooth transition.</w:t>
      </w:r>
    </w:p>
    <w:p w14:paraId="5C4AD926" w14:textId="77777777" w:rsidR="004A09F2" w:rsidRPr="006B35FE" w:rsidRDefault="004A09F2" w:rsidP="004A09F2">
      <w:pPr>
        <w:pStyle w:val="p3"/>
        <w:rPr>
          <w:b/>
          <w:bCs/>
          <w:color w:val="45B0E1" w:themeColor="accent1" w:themeTint="99"/>
          <w:sz w:val="18"/>
          <w:szCs w:val="18"/>
        </w:rPr>
      </w:pPr>
      <w:r w:rsidRPr="006B35FE">
        <w:rPr>
          <w:rStyle w:val="s3"/>
          <w:rFonts w:eastAsiaTheme="majorEastAsia"/>
          <w:b/>
          <w:bCs/>
          <w:color w:val="45B0E1" w:themeColor="accent1" w:themeTint="99"/>
          <w:sz w:val="18"/>
          <w:szCs w:val="18"/>
        </w:rPr>
        <w:t>Expert Support at No Cost</w:t>
      </w:r>
    </w:p>
    <w:p w14:paraId="3E7969C9" w14:textId="77777777" w:rsidR="004A09F2" w:rsidRPr="006B35FE" w:rsidRDefault="004A09F2" w:rsidP="004A09F2">
      <w:pPr>
        <w:pStyle w:val="p2"/>
        <w:rPr>
          <w:sz w:val="18"/>
          <w:szCs w:val="18"/>
        </w:rPr>
      </w:pPr>
      <w:r w:rsidRPr="006B35FE">
        <w:rPr>
          <w:rStyle w:val="s2"/>
          <w:rFonts w:eastAsiaTheme="majorEastAsia"/>
          <w:sz w:val="18"/>
          <w:szCs w:val="18"/>
        </w:rPr>
        <w:t>Navigating the mortgage landscape can feel overwhelming, especially when rates are shifting and lenders are tightening criteria. That’s where specialist guidance becomes invaluable.</w:t>
      </w:r>
    </w:p>
    <w:p w14:paraId="52DC1BD6" w14:textId="20910331" w:rsidR="004A09F2" w:rsidRPr="006B35FE" w:rsidRDefault="004A09F2" w:rsidP="004A09F2">
      <w:pPr>
        <w:pStyle w:val="p2"/>
        <w:rPr>
          <w:sz w:val="18"/>
          <w:szCs w:val="18"/>
        </w:rPr>
      </w:pPr>
      <w:r w:rsidRPr="006B35FE">
        <w:rPr>
          <w:rStyle w:val="s2"/>
          <w:rFonts w:eastAsiaTheme="majorEastAsia"/>
          <w:sz w:val="18"/>
          <w:szCs w:val="18"/>
        </w:rPr>
        <w:t xml:space="preserve">Police Mortgages offers tailored, expert support to help you secure the right deal—and they do it at no cost to you. Their advisers understand the unique pressures faced by </w:t>
      </w:r>
      <w:r w:rsidR="00BC132D">
        <w:rPr>
          <w:rStyle w:val="s2"/>
          <w:rFonts w:eastAsiaTheme="majorEastAsia"/>
          <w:sz w:val="18"/>
          <w:szCs w:val="18"/>
        </w:rPr>
        <w:t>police officers and</w:t>
      </w:r>
      <w:r w:rsidRPr="006B35FE">
        <w:rPr>
          <w:rStyle w:val="s2"/>
          <w:rFonts w:eastAsiaTheme="majorEastAsia"/>
          <w:sz w:val="18"/>
          <w:szCs w:val="18"/>
        </w:rPr>
        <w:t xml:space="preserve"> staff, and the need for clear, reliable financial advice. They monitor the market on your behalf, ensure you never miss an opportunity to secure a better rate, and handle the paperwork so you don’t have to.</w:t>
      </w:r>
    </w:p>
    <w:p w14:paraId="586A3F8F" w14:textId="60CCB7FD" w:rsidR="004A09F2" w:rsidRPr="004538F8" w:rsidRDefault="004A09F2" w:rsidP="004A09F2">
      <w:pPr>
        <w:pStyle w:val="p2"/>
        <w:rPr>
          <w:sz w:val="18"/>
          <w:szCs w:val="18"/>
          <w:u w:val="single"/>
        </w:rPr>
      </w:pPr>
      <w:r w:rsidRPr="004538F8">
        <w:rPr>
          <w:rStyle w:val="s2"/>
          <w:rFonts w:eastAsiaTheme="majorEastAsia"/>
          <w:sz w:val="18"/>
          <w:szCs w:val="18"/>
          <w:u w:val="single"/>
        </w:rPr>
        <w:t>In a market like today’s, having a dedicated specialist in your corner isn’t just helpful—it’s a competitive advantage.</w:t>
      </w:r>
    </w:p>
    <w:p w14:paraId="51B197CE" w14:textId="0318F9CF" w:rsidR="006B35FE" w:rsidRPr="006B35FE" w:rsidRDefault="006B35FE" w:rsidP="006B35FE">
      <w:pPr>
        <w:pStyle w:val="p2"/>
        <w:rPr>
          <w:rStyle w:val="s2"/>
          <w:rFonts w:eastAsiaTheme="majorEastAsia"/>
          <w:sz w:val="18"/>
          <w:szCs w:val="18"/>
        </w:rPr>
      </w:pPr>
      <w:r w:rsidRPr="006B35FE">
        <w:rPr>
          <w:rStyle w:val="s2"/>
          <w:rFonts w:eastAsiaTheme="majorEastAsia"/>
          <w:sz w:val="18"/>
          <w:szCs w:val="18"/>
        </w:rPr>
        <w:t>So if you are looking to get onto the property market, or are coming to the end of a mortgage term, fix an appointment with your qualified mortgage adviser</w:t>
      </w:r>
      <w:r w:rsidR="00BC132D">
        <w:t xml:space="preserve"> </w:t>
      </w:r>
      <w:r w:rsidR="00E87C8F" w:rsidRPr="00E87C8F">
        <w:rPr>
          <w:sz w:val="18"/>
          <w:szCs w:val="18"/>
        </w:rPr>
        <w:fldChar w:fldCharType="begin"/>
      </w:r>
      <w:r w:rsidR="00E87C8F" w:rsidRPr="00E87C8F">
        <w:rPr>
          <w:sz w:val="18"/>
          <w:szCs w:val="18"/>
        </w:rPr>
        <w:instrText>HYPERLINK "https://calendly.com/police-mortgages/wiltshire-police-federation-mortgage-appointment"</w:instrText>
      </w:r>
      <w:r w:rsidR="00E87C8F" w:rsidRPr="00E87C8F">
        <w:rPr>
          <w:sz w:val="18"/>
          <w:szCs w:val="18"/>
        </w:rPr>
      </w:r>
      <w:r w:rsidR="00E87C8F" w:rsidRPr="00E87C8F">
        <w:rPr>
          <w:sz w:val="18"/>
          <w:szCs w:val="18"/>
        </w:rPr>
        <w:fldChar w:fldCharType="separate"/>
      </w:r>
      <w:r w:rsidR="00E87C8F" w:rsidRPr="00E87C8F">
        <w:rPr>
          <w:rStyle w:val="Hyperlink"/>
          <w:sz w:val="18"/>
          <w:szCs w:val="18"/>
        </w:rPr>
        <w:t xml:space="preserve">by clicking </w:t>
      </w:r>
      <w:r w:rsidR="00E87C8F" w:rsidRPr="00E87C8F">
        <w:rPr>
          <w:rStyle w:val="Hyperlink"/>
          <w:sz w:val="18"/>
          <w:szCs w:val="18"/>
        </w:rPr>
        <w:t>h</w:t>
      </w:r>
      <w:r w:rsidR="00E87C8F" w:rsidRPr="00E87C8F">
        <w:rPr>
          <w:rStyle w:val="Hyperlink"/>
          <w:sz w:val="18"/>
          <w:szCs w:val="18"/>
        </w:rPr>
        <w:t>ere.</w:t>
      </w:r>
      <w:r w:rsidR="00E87C8F" w:rsidRPr="00E87C8F">
        <w:rPr>
          <w:sz w:val="18"/>
          <w:szCs w:val="18"/>
        </w:rPr>
        <w:fldChar w:fldCharType="end"/>
      </w:r>
      <w:r w:rsidR="004538F8">
        <w:rPr>
          <w:rStyle w:val="s2"/>
          <w:rFonts w:eastAsiaTheme="majorEastAsia"/>
          <w:sz w:val="18"/>
          <w:szCs w:val="18"/>
        </w:rPr>
        <w:t xml:space="preserve"> </w:t>
      </w:r>
      <w:r w:rsidR="00BC132D">
        <w:rPr>
          <w:rStyle w:val="s2"/>
          <w:rFonts w:eastAsiaTheme="majorEastAsia"/>
          <w:sz w:val="18"/>
          <w:szCs w:val="18"/>
        </w:rPr>
        <w:t xml:space="preserve">  </w:t>
      </w:r>
      <w:r w:rsidR="004538F8">
        <w:rPr>
          <w:rStyle w:val="s2"/>
          <w:rFonts w:eastAsiaTheme="majorEastAsia"/>
          <w:sz w:val="18"/>
          <w:szCs w:val="18"/>
        </w:rPr>
        <w:t>Alternatively access our calendar via the QR Code.</w:t>
      </w:r>
    </w:p>
    <w:p w14:paraId="22355ADF" w14:textId="2F1B9F0E" w:rsidR="004A09F2" w:rsidRDefault="004A09F2" w:rsidP="006B35FE"/>
    <w:sectPr w:rsidR="004A0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nto Copilot Variable">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F2"/>
    <w:rsid w:val="00004E0E"/>
    <w:rsid w:val="004538F8"/>
    <w:rsid w:val="004A09F2"/>
    <w:rsid w:val="00690AA7"/>
    <w:rsid w:val="006B35FE"/>
    <w:rsid w:val="00755602"/>
    <w:rsid w:val="00766F1E"/>
    <w:rsid w:val="00A609A5"/>
    <w:rsid w:val="00BC132D"/>
    <w:rsid w:val="00D27FC3"/>
    <w:rsid w:val="00E8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A1D02D"/>
  <w15:chartTrackingRefBased/>
  <w15:docId w15:val="{B05A9F52-5A0C-B349-A5F5-178362B1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9F2"/>
    <w:rPr>
      <w:rFonts w:eastAsiaTheme="majorEastAsia" w:cstheme="majorBidi"/>
      <w:color w:val="272727" w:themeColor="text1" w:themeTint="D8"/>
    </w:rPr>
  </w:style>
  <w:style w:type="paragraph" w:styleId="Title">
    <w:name w:val="Title"/>
    <w:basedOn w:val="Normal"/>
    <w:next w:val="Normal"/>
    <w:link w:val="TitleChar"/>
    <w:uiPriority w:val="10"/>
    <w:qFormat/>
    <w:rsid w:val="004A0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9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9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09F2"/>
    <w:rPr>
      <w:i/>
      <w:iCs/>
      <w:color w:val="404040" w:themeColor="text1" w:themeTint="BF"/>
    </w:rPr>
  </w:style>
  <w:style w:type="paragraph" w:styleId="ListParagraph">
    <w:name w:val="List Paragraph"/>
    <w:basedOn w:val="Normal"/>
    <w:uiPriority w:val="34"/>
    <w:qFormat/>
    <w:rsid w:val="004A09F2"/>
    <w:pPr>
      <w:ind w:left="720"/>
      <w:contextualSpacing/>
    </w:pPr>
  </w:style>
  <w:style w:type="character" w:styleId="IntenseEmphasis">
    <w:name w:val="Intense Emphasis"/>
    <w:basedOn w:val="DefaultParagraphFont"/>
    <w:uiPriority w:val="21"/>
    <w:qFormat/>
    <w:rsid w:val="004A09F2"/>
    <w:rPr>
      <w:i/>
      <w:iCs/>
      <w:color w:val="0F4761" w:themeColor="accent1" w:themeShade="BF"/>
    </w:rPr>
  </w:style>
  <w:style w:type="paragraph" w:styleId="IntenseQuote">
    <w:name w:val="Intense Quote"/>
    <w:basedOn w:val="Normal"/>
    <w:next w:val="Normal"/>
    <w:link w:val="IntenseQuoteChar"/>
    <w:uiPriority w:val="30"/>
    <w:qFormat/>
    <w:rsid w:val="004A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9F2"/>
    <w:rPr>
      <w:i/>
      <w:iCs/>
      <w:color w:val="0F4761" w:themeColor="accent1" w:themeShade="BF"/>
    </w:rPr>
  </w:style>
  <w:style w:type="character" w:styleId="IntenseReference">
    <w:name w:val="Intense Reference"/>
    <w:basedOn w:val="DefaultParagraphFont"/>
    <w:uiPriority w:val="32"/>
    <w:qFormat/>
    <w:rsid w:val="004A09F2"/>
    <w:rPr>
      <w:b/>
      <w:bCs/>
      <w:smallCaps/>
      <w:color w:val="0F4761" w:themeColor="accent1" w:themeShade="BF"/>
      <w:spacing w:val="5"/>
    </w:rPr>
  </w:style>
  <w:style w:type="paragraph" w:customStyle="1" w:styleId="p1">
    <w:name w:val="p1"/>
    <w:basedOn w:val="Normal"/>
    <w:rsid w:val="004A09F2"/>
    <w:pPr>
      <w:spacing w:before="180" w:after="150"/>
    </w:pPr>
    <w:rPr>
      <w:rFonts w:ascii="Ginto Copilot Variable" w:eastAsia="Times New Roman" w:hAnsi="Ginto Copilot Variable" w:cs="Times New Roman"/>
      <w:color w:val="26221F"/>
      <w:kern w:val="0"/>
      <w:sz w:val="33"/>
      <w:szCs w:val="33"/>
      <w:lang w:eastAsia="en-GB"/>
      <w14:ligatures w14:val="none"/>
    </w:rPr>
  </w:style>
  <w:style w:type="paragraph" w:customStyle="1" w:styleId="p2">
    <w:name w:val="p2"/>
    <w:basedOn w:val="Normal"/>
    <w:rsid w:val="004A09F2"/>
    <w:pPr>
      <w:spacing w:after="180"/>
    </w:pPr>
    <w:rPr>
      <w:rFonts w:ascii="Ginto Copilot Variable" w:eastAsia="Times New Roman" w:hAnsi="Ginto Copilot Variable" w:cs="Times New Roman"/>
      <w:color w:val="26221F"/>
      <w:kern w:val="0"/>
      <w:sz w:val="23"/>
      <w:szCs w:val="23"/>
      <w:lang w:eastAsia="en-GB"/>
      <w14:ligatures w14:val="none"/>
    </w:rPr>
  </w:style>
  <w:style w:type="paragraph" w:customStyle="1" w:styleId="p3">
    <w:name w:val="p3"/>
    <w:basedOn w:val="Normal"/>
    <w:rsid w:val="004A09F2"/>
    <w:pPr>
      <w:spacing w:before="60" w:after="90"/>
    </w:pPr>
    <w:rPr>
      <w:rFonts w:ascii="Ginto Copilot Variable" w:eastAsia="Times New Roman" w:hAnsi="Ginto Copilot Variable" w:cs="Times New Roman"/>
      <w:color w:val="26221F"/>
      <w:kern w:val="0"/>
      <w:sz w:val="30"/>
      <w:szCs w:val="30"/>
      <w:lang w:eastAsia="en-GB"/>
      <w14:ligatures w14:val="none"/>
    </w:rPr>
  </w:style>
  <w:style w:type="paragraph" w:customStyle="1" w:styleId="p4">
    <w:name w:val="p4"/>
    <w:basedOn w:val="Normal"/>
    <w:rsid w:val="004A09F2"/>
    <w:pPr>
      <w:spacing w:after="180"/>
    </w:pPr>
    <w:rPr>
      <w:rFonts w:ascii="Times New Roman" w:eastAsia="Times New Roman" w:hAnsi="Times New Roman" w:cs="Times New Roman"/>
      <w:kern w:val="0"/>
      <w:lang w:eastAsia="en-GB"/>
      <w14:ligatures w14:val="none"/>
    </w:rPr>
  </w:style>
  <w:style w:type="paragraph" w:customStyle="1" w:styleId="p5">
    <w:name w:val="p5"/>
    <w:basedOn w:val="Normal"/>
    <w:rsid w:val="004A09F2"/>
    <w:pPr>
      <w:spacing w:before="60" w:after="90"/>
    </w:pPr>
    <w:rPr>
      <w:rFonts w:ascii="Ginto Copilot Variable" w:eastAsia="Times New Roman" w:hAnsi="Ginto Copilot Variable" w:cs="Times New Roman"/>
      <w:color w:val="26221F"/>
      <w:kern w:val="0"/>
      <w:sz w:val="27"/>
      <w:szCs w:val="27"/>
      <w:lang w:eastAsia="en-GB"/>
      <w14:ligatures w14:val="none"/>
    </w:rPr>
  </w:style>
  <w:style w:type="character" w:customStyle="1" w:styleId="s1">
    <w:name w:val="s1"/>
    <w:basedOn w:val="DefaultParagraphFont"/>
    <w:rsid w:val="004A09F2"/>
    <w:rPr>
      <w:spacing w:val="-3"/>
    </w:rPr>
  </w:style>
  <w:style w:type="character" w:customStyle="1" w:styleId="s2">
    <w:name w:val="s2"/>
    <w:basedOn w:val="DefaultParagraphFont"/>
    <w:rsid w:val="004A09F2"/>
    <w:rPr>
      <w:spacing w:val="2"/>
    </w:rPr>
  </w:style>
  <w:style w:type="character" w:customStyle="1" w:styleId="s4">
    <w:name w:val="s4"/>
    <w:basedOn w:val="DefaultParagraphFont"/>
    <w:rsid w:val="004A09F2"/>
    <w:rPr>
      <w:rFonts w:ascii="Helvetica" w:hAnsi="Helvetica" w:hint="default"/>
      <w:sz w:val="18"/>
      <w:szCs w:val="18"/>
    </w:rPr>
  </w:style>
  <w:style w:type="character" w:customStyle="1" w:styleId="s5">
    <w:name w:val="s5"/>
    <w:basedOn w:val="DefaultParagraphFont"/>
    <w:rsid w:val="004A09F2"/>
    <w:rPr>
      <w:spacing w:val="-2"/>
    </w:rPr>
  </w:style>
  <w:style w:type="character" w:customStyle="1" w:styleId="s3">
    <w:name w:val="s3"/>
    <w:basedOn w:val="DefaultParagraphFont"/>
    <w:rsid w:val="004A09F2"/>
  </w:style>
  <w:style w:type="character" w:styleId="Hyperlink">
    <w:name w:val="Hyperlink"/>
    <w:basedOn w:val="DefaultParagraphFont"/>
    <w:uiPriority w:val="99"/>
    <w:unhideWhenUsed/>
    <w:rsid w:val="006B35FE"/>
    <w:rPr>
      <w:color w:val="467886" w:themeColor="hyperlink"/>
      <w:u w:val="single"/>
    </w:rPr>
  </w:style>
  <w:style w:type="character" w:styleId="FollowedHyperlink">
    <w:name w:val="FollowedHyperlink"/>
    <w:basedOn w:val="DefaultParagraphFont"/>
    <w:uiPriority w:val="99"/>
    <w:semiHidden/>
    <w:unhideWhenUsed/>
    <w:rsid w:val="006B35FE"/>
    <w:rPr>
      <w:color w:val="96607D" w:themeColor="followedHyperlink"/>
      <w:u w:val="single"/>
    </w:rPr>
  </w:style>
  <w:style w:type="character" w:styleId="UnresolvedMention">
    <w:name w:val="Unresolved Mention"/>
    <w:basedOn w:val="DefaultParagraphFont"/>
    <w:uiPriority w:val="99"/>
    <w:semiHidden/>
    <w:unhideWhenUsed/>
    <w:rsid w:val="00BC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7" ma:contentTypeDescription="Create a new document." ma:contentTypeScope="" ma:versionID="e976ae27eaf6ff61bb730dd8baa13f3d">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789c4553934c4af7be209157ebd789b0"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cabfe5-4d1d-4d22-99b1-f464aa2b3f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1982095A-3416-4025-A52C-A10DF64302BD}"/>
</file>

<file path=customXml/itemProps2.xml><?xml version="1.0" encoding="utf-8"?>
<ds:datastoreItem xmlns:ds="http://schemas.openxmlformats.org/officeDocument/2006/customXml" ds:itemID="{8A3A0D3B-D00A-47D7-A852-0470D64ECA0F}"/>
</file>

<file path=customXml/itemProps3.xml><?xml version="1.0" encoding="utf-8"?>
<ds:datastoreItem xmlns:ds="http://schemas.openxmlformats.org/officeDocument/2006/customXml" ds:itemID="{942F9AC5-6F38-4AEE-A5B3-E7CDA203100B}"/>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2947</Characters>
  <Application>Microsoft Office Word</Application>
  <DocSecurity>0</DocSecurity>
  <Lines>43</Lines>
  <Paragraphs>20</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Davenport</dc:creator>
  <cp:keywords/>
  <dc:description/>
  <cp:lastModifiedBy>Stephen Davenport</cp:lastModifiedBy>
  <cp:revision>2</cp:revision>
  <dcterms:created xsi:type="dcterms:W3CDTF">2026-03-30T09:35:00Z</dcterms:created>
  <dcterms:modified xsi:type="dcterms:W3CDTF">2026-03-30T09:35:00Z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